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2E58B" w14:textId="77777777" w:rsidR="007A4C6E" w:rsidRDefault="00F97D20">
      <w:pPr>
        <w:pStyle w:val="Corpotesto"/>
        <w:ind w:left="184"/>
        <w:rPr>
          <w:rFonts w:ascii="Times New Roman"/>
          <w:sz w:val="20"/>
        </w:rPr>
      </w:pPr>
      <w:r>
        <w:rPr>
          <w:rFonts w:ascii="Times New Roman"/>
          <w:noProof/>
          <w:sz w:val="20"/>
        </w:rPr>
        <w:drawing>
          <wp:inline distT="0" distB="0" distL="0" distR="0" wp14:anchorId="454D5703" wp14:editId="430FEBE6">
            <wp:extent cx="1480468" cy="6837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80468" cy="683704"/>
                    </a:xfrm>
                    <a:prstGeom prst="rect">
                      <a:avLst/>
                    </a:prstGeom>
                  </pic:spPr>
                </pic:pic>
              </a:graphicData>
            </a:graphic>
          </wp:inline>
        </w:drawing>
      </w:r>
    </w:p>
    <w:p w14:paraId="68DCCAA7" w14:textId="77777777" w:rsidR="007A4C6E" w:rsidRPr="009E6064" w:rsidRDefault="00F97D20">
      <w:pPr>
        <w:pStyle w:val="Titolo"/>
        <w:spacing w:before="58" w:line="276" w:lineRule="auto"/>
        <w:ind w:left="2029" w:right="2029" w:firstLine="9"/>
        <w:rPr>
          <w:sz w:val="40"/>
          <w:szCs w:val="40"/>
        </w:rPr>
      </w:pPr>
      <w:r w:rsidRPr="009E6064">
        <w:rPr>
          <w:color w:val="0E233D"/>
          <w:sz w:val="40"/>
          <w:szCs w:val="40"/>
        </w:rPr>
        <w:t>Informazioni pubblicate ai sensi</w:t>
      </w:r>
      <w:r w:rsidRPr="009E6064">
        <w:rPr>
          <w:color w:val="0E233D"/>
          <w:spacing w:val="-14"/>
          <w:sz w:val="40"/>
          <w:szCs w:val="40"/>
        </w:rPr>
        <w:t xml:space="preserve"> </w:t>
      </w:r>
      <w:r w:rsidRPr="009E6064">
        <w:rPr>
          <w:color w:val="0E233D"/>
          <w:sz w:val="40"/>
          <w:szCs w:val="40"/>
        </w:rPr>
        <w:t>del</w:t>
      </w:r>
      <w:r w:rsidRPr="009E6064">
        <w:rPr>
          <w:color w:val="0E233D"/>
          <w:spacing w:val="-12"/>
          <w:sz w:val="40"/>
          <w:szCs w:val="40"/>
        </w:rPr>
        <w:t xml:space="preserve"> </w:t>
      </w:r>
      <w:r w:rsidRPr="009E6064">
        <w:rPr>
          <w:color w:val="0E233D"/>
          <w:sz w:val="40"/>
          <w:szCs w:val="40"/>
        </w:rPr>
        <w:t>Regolamento</w:t>
      </w:r>
      <w:r w:rsidRPr="009E6064">
        <w:rPr>
          <w:color w:val="0E233D"/>
          <w:spacing w:val="-13"/>
          <w:sz w:val="40"/>
          <w:szCs w:val="40"/>
        </w:rPr>
        <w:t xml:space="preserve"> </w:t>
      </w:r>
      <w:r w:rsidRPr="009E6064">
        <w:rPr>
          <w:color w:val="0E233D"/>
          <w:sz w:val="40"/>
          <w:szCs w:val="40"/>
        </w:rPr>
        <w:t>(UE) 2019/2088 (“SFDR”) e</w:t>
      </w:r>
    </w:p>
    <w:p w14:paraId="79575B9B" w14:textId="77777777" w:rsidR="007A4C6E" w:rsidRPr="009E6064" w:rsidRDefault="00F97D20">
      <w:pPr>
        <w:pStyle w:val="Titolo"/>
        <w:rPr>
          <w:sz w:val="40"/>
          <w:szCs w:val="40"/>
        </w:rPr>
      </w:pPr>
      <w:r w:rsidRPr="009E6064">
        <w:rPr>
          <w:color w:val="0E233D"/>
          <w:sz w:val="40"/>
          <w:szCs w:val="40"/>
        </w:rPr>
        <w:t>riesame</w:t>
      </w:r>
      <w:r w:rsidRPr="009E6064">
        <w:rPr>
          <w:color w:val="0E233D"/>
          <w:spacing w:val="-3"/>
          <w:sz w:val="40"/>
          <w:szCs w:val="40"/>
        </w:rPr>
        <w:t xml:space="preserve"> </w:t>
      </w:r>
      <w:r w:rsidRPr="009E6064">
        <w:rPr>
          <w:color w:val="0E233D"/>
          <w:sz w:val="40"/>
          <w:szCs w:val="40"/>
        </w:rPr>
        <w:t>delle</w:t>
      </w:r>
      <w:r w:rsidRPr="009E6064">
        <w:rPr>
          <w:color w:val="0E233D"/>
          <w:spacing w:val="-2"/>
          <w:sz w:val="40"/>
          <w:szCs w:val="40"/>
        </w:rPr>
        <w:t xml:space="preserve"> stesse.</w:t>
      </w:r>
    </w:p>
    <w:p w14:paraId="27623B93" w14:textId="77777777" w:rsidR="007A4C6E" w:rsidRDefault="00F97D20">
      <w:pPr>
        <w:pStyle w:val="Corpotesto"/>
        <w:spacing w:before="8"/>
        <w:rPr>
          <w:sz w:val="8"/>
        </w:rPr>
      </w:pPr>
      <w:r>
        <w:rPr>
          <w:noProof/>
        </w:rPr>
        <mc:AlternateContent>
          <mc:Choice Requires="wps">
            <w:drawing>
              <wp:anchor distT="0" distB="0" distL="0" distR="0" simplePos="0" relativeHeight="487587840" behindDoc="1" locked="0" layoutInCell="1" allowOverlap="1" wp14:anchorId="54D9C047" wp14:editId="40B248F2">
                <wp:simplePos x="0" y="0"/>
                <wp:positionH relativeFrom="page">
                  <wp:posOffset>1519682</wp:posOffset>
                </wp:positionH>
                <wp:positionV relativeFrom="paragraph">
                  <wp:posOffset>82553</wp:posOffset>
                </wp:positionV>
                <wp:extent cx="451993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9930" cy="18415"/>
                        </a:xfrm>
                        <a:custGeom>
                          <a:avLst/>
                          <a:gdLst/>
                          <a:ahLst/>
                          <a:cxnLst/>
                          <a:rect l="l" t="t" r="r" b="b"/>
                          <a:pathLst>
                            <a:path w="4519930" h="18415">
                              <a:moveTo>
                                <a:pt x="4519549" y="0"/>
                              </a:moveTo>
                              <a:lnTo>
                                <a:pt x="0" y="0"/>
                              </a:lnTo>
                              <a:lnTo>
                                <a:pt x="0" y="18288"/>
                              </a:lnTo>
                              <a:lnTo>
                                <a:pt x="4519549" y="18288"/>
                              </a:lnTo>
                              <a:lnTo>
                                <a:pt x="4519549" y="0"/>
                              </a:lnTo>
                              <a:close/>
                            </a:path>
                          </a:pathLst>
                        </a:custGeom>
                        <a:solidFill>
                          <a:srgbClr val="001F3D"/>
                        </a:solidFill>
                      </wps:spPr>
                      <wps:bodyPr wrap="square" lIns="0" tIns="0" rIns="0" bIns="0" rtlCol="0">
                        <a:prstTxWarp prst="textNoShape">
                          <a:avLst/>
                        </a:prstTxWarp>
                        <a:noAutofit/>
                      </wps:bodyPr>
                    </wps:wsp>
                  </a:graphicData>
                </a:graphic>
              </wp:anchor>
            </w:drawing>
          </mc:Choice>
          <mc:Fallback>
            <w:pict>
              <v:shape w14:anchorId="0FE0A8B4" id="Graphic 2" o:spid="_x0000_s1026" style="position:absolute;margin-left:119.65pt;margin-top:6.5pt;width:355.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45199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" path="m4519549,l,,,18288r4519549,l4519549,xe" fillcolor="#001f3d" stroked="f">
                <v:path arrowok="t"/>
                <w10:wrap type="topAndBottom" anchorx="page"/>
              </v:shape>
            </w:pict>
          </mc:Fallback>
        </mc:AlternateContent>
      </w:r>
    </w:p>
    <w:p w14:paraId="7E945063" w14:textId="77777777" w:rsidR="007A4C6E" w:rsidRDefault="007A4C6E">
      <w:pPr>
        <w:pStyle w:val="Corpotesto"/>
        <w:rPr>
          <w:sz w:val="24"/>
        </w:rPr>
      </w:pPr>
    </w:p>
    <w:p w14:paraId="1ADCEBF0" w14:textId="77777777" w:rsidR="007A4C6E" w:rsidRDefault="007A4C6E">
      <w:pPr>
        <w:pStyle w:val="Corpotesto"/>
        <w:spacing w:before="104"/>
        <w:rPr>
          <w:sz w:val="24"/>
        </w:rPr>
      </w:pPr>
    </w:p>
    <w:p w14:paraId="28542756" w14:textId="073BC181" w:rsidR="007A4C6E" w:rsidRDefault="00F97D20">
      <w:pPr>
        <w:pStyle w:val="Titolo1"/>
      </w:pPr>
      <w:r>
        <w:rPr>
          <w:noProof/>
        </w:rPr>
        <mc:AlternateContent>
          <mc:Choice Requires="wps">
            <w:drawing>
              <wp:anchor distT="0" distB="0" distL="0" distR="0" simplePos="0" relativeHeight="487588352" behindDoc="1" locked="0" layoutInCell="1" allowOverlap="1" wp14:anchorId="12A54E00" wp14:editId="6AAE008F">
                <wp:simplePos x="0" y="0"/>
                <wp:positionH relativeFrom="page">
                  <wp:posOffset>438912</wp:posOffset>
                </wp:positionH>
                <wp:positionV relativeFrom="paragraph">
                  <wp:posOffset>214161</wp:posOffset>
                </wp:positionV>
                <wp:extent cx="66802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6350"/>
                        </a:xfrm>
                        <a:custGeom>
                          <a:avLst/>
                          <a:gdLst/>
                          <a:ahLst/>
                          <a:cxnLst/>
                          <a:rect l="l" t="t" r="r" b="b"/>
                          <a:pathLst>
                            <a:path w="6680200" h="6350">
                              <a:moveTo>
                                <a:pt x="6679692" y="0"/>
                              </a:moveTo>
                              <a:lnTo>
                                <a:pt x="0" y="0"/>
                              </a:lnTo>
                              <a:lnTo>
                                <a:pt x="0" y="6096"/>
                              </a:lnTo>
                              <a:lnTo>
                                <a:pt x="6679692" y="6096"/>
                              </a:lnTo>
                              <a:lnTo>
                                <a:pt x="6679692" y="0"/>
                              </a:lnTo>
                              <a:close/>
                            </a:path>
                          </a:pathLst>
                        </a:custGeom>
                        <a:solidFill>
                          <a:srgbClr val="001F3D"/>
                        </a:solidFill>
                      </wps:spPr>
                      <wps:bodyPr wrap="square" lIns="0" tIns="0" rIns="0" bIns="0" rtlCol="0">
                        <a:prstTxWarp prst="textNoShape">
                          <a:avLst/>
                        </a:prstTxWarp>
                        <a:noAutofit/>
                      </wps:bodyPr>
                    </wps:wsp>
                  </a:graphicData>
                </a:graphic>
              </wp:anchor>
            </w:drawing>
          </mc:Choice>
          <mc:Fallback>
            <w:pict>
              <v:shape w14:anchorId="5AEDF2B6" id="Graphic 3" o:spid="_x0000_s1026" style="position:absolute;margin-left:34.55pt;margin-top:16.85pt;width:526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" path="m6679692,l,,,6096r6679692,l6679692,xe" fillcolor="#001f3d" stroked="f">
                <v:path arrowok="t"/>
                <w10:wrap type="topAndBottom" anchorx="page"/>
              </v:shape>
            </w:pict>
          </mc:Fallback>
        </mc:AlternateContent>
      </w:r>
      <w:r>
        <w:rPr>
          <w:color w:val="001F3D"/>
        </w:rPr>
        <w:t>Integrazione</w:t>
      </w:r>
      <w:r>
        <w:rPr>
          <w:color w:val="001F3D"/>
          <w:spacing w:val="-7"/>
        </w:rPr>
        <w:t xml:space="preserve"> </w:t>
      </w:r>
      <w:r>
        <w:rPr>
          <w:color w:val="001F3D"/>
        </w:rPr>
        <w:t>e</w:t>
      </w:r>
      <w:r>
        <w:rPr>
          <w:color w:val="001F3D"/>
          <w:spacing w:val="-4"/>
        </w:rPr>
        <w:t xml:space="preserve"> </w:t>
      </w:r>
      <w:r>
        <w:rPr>
          <w:color w:val="001F3D"/>
        </w:rPr>
        <w:t>riesame</w:t>
      </w:r>
      <w:r>
        <w:rPr>
          <w:color w:val="001F3D"/>
          <w:spacing w:val="-4"/>
        </w:rPr>
        <w:t xml:space="preserve"> </w:t>
      </w:r>
      <w:r>
        <w:rPr>
          <w:color w:val="001F3D"/>
        </w:rPr>
        <w:t>delle</w:t>
      </w:r>
      <w:r>
        <w:rPr>
          <w:color w:val="001F3D"/>
          <w:spacing w:val="-5"/>
        </w:rPr>
        <w:t xml:space="preserve"> </w:t>
      </w:r>
      <w:r>
        <w:rPr>
          <w:color w:val="001F3D"/>
        </w:rPr>
        <w:t>informazioni</w:t>
      </w:r>
      <w:r>
        <w:rPr>
          <w:color w:val="001F3D"/>
          <w:spacing w:val="-4"/>
        </w:rPr>
        <w:t xml:space="preserve"> </w:t>
      </w:r>
      <w:r>
        <w:rPr>
          <w:color w:val="001F3D"/>
        </w:rPr>
        <w:t>pubblicate</w:t>
      </w:r>
      <w:r>
        <w:rPr>
          <w:color w:val="001F3D"/>
          <w:spacing w:val="-4"/>
        </w:rPr>
        <w:t xml:space="preserve"> </w:t>
      </w:r>
      <w:r>
        <w:rPr>
          <w:color w:val="001F3D"/>
        </w:rPr>
        <w:t>ai</w:t>
      </w:r>
      <w:r>
        <w:rPr>
          <w:color w:val="001F3D"/>
          <w:spacing w:val="-3"/>
        </w:rPr>
        <w:t xml:space="preserve"> </w:t>
      </w:r>
      <w:r>
        <w:rPr>
          <w:color w:val="001F3D"/>
        </w:rPr>
        <w:t>sensi</w:t>
      </w:r>
      <w:r>
        <w:rPr>
          <w:color w:val="001F3D"/>
          <w:spacing w:val="-4"/>
        </w:rPr>
        <w:t xml:space="preserve"> </w:t>
      </w:r>
      <w:r>
        <w:rPr>
          <w:color w:val="001F3D"/>
        </w:rPr>
        <w:t>de</w:t>
      </w:r>
      <w:r w:rsidR="00E53D9A">
        <w:rPr>
          <w:color w:val="001F3D"/>
        </w:rPr>
        <w:t xml:space="preserve">gli </w:t>
      </w:r>
      <w:r>
        <w:rPr>
          <w:color w:val="001F3D"/>
        </w:rPr>
        <w:t>articol</w:t>
      </w:r>
      <w:r w:rsidR="00E53D9A">
        <w:rPr>
          <w:color w:val="001F3D"/>
        </w:rPr>
        <w:t>i</w:t>
      </w:r>
      <w:r>
        <w:rPr>
          <w:color w:val="001F3D"/>
          <w:spacing w:val="-5"/>
        </w:rPr>
        <w:t xml:space="preserve"> </w:t>
      </w:r>
      <w:r>
        <w:rPr>
          <w:color w:val="001F3D"/>
        </w:rPr>
        <w:t>3</w:t>
      </w:r>
      <w:r w:rsidR="00E53D9A">
        <w:rPr>
          <w:color w:val="001F3D"/>
        </w:rPr>
        <w:t xml:space="preserve"> e 4</w:t>
      </w:r>
      <w:r>
        <w:rPr>
          <w:color w:val="001F3D"/>
          <w:spacing w:val="-2"/>
        </w:rPr>
        <w:t xml:space="preserve"> </w:t>
      </w:r>
      <w:r>
        <w:rPr>
          <w:color w:val="001F3D"/>
          <w:spacing w:val="-4"/>
        </w:rPr>
        <w:t>SFDR</w:t>
      </w:r>
    </w:p>
    <w:p w14:paraId="0C67A27D" w14:textId="1E406558" w:rsidR="00F308C9" w:rsidRDefault="00E53D9A" w:rsidP="009E6064">
      <w:pPr>
        <w:pStyle w:val="Paragrafoelenco"/>
        <w:numPr>
          <w:ilvl w:val="0"/>
          <w:numId w:val="1"/>
        </w:numPr>
        <w:tabs>
          <w:tab w:val="left" w:pos="858"/>
          <w:tab w:val="left" w:pos="860"/>
        </w:tabs>
        <w:spacing w:line="259" w:lineRule="auto"/>
        <w:ind w:left="860" w:hanging="361"/>
      </w:pPr>
      <w:r>
        <w:t xml:space="preserve">Il Regolamento SFDR prevede che la SGR pubblichi le modalità con cui tiene conto dei potenziali effetti negativi delle proprie decisioni di investimento sui fattori di sostenibilità ESG o, in alternativa motivi le ragioni della impossibilità di considerare tali impatti. La SGR, in ottemperanza all’art. 4 della SFDR, in data 10 marzo 2021 ha pubblicato nella sezione dedicata del sito internet uno </w:t>
      </w:r>
      <w:proofErr w:type="spellStart"/>
      <w:r w:rsidRPr="009E6064">
        <w:rPr>
          <w:i/>
          <w:iCs/>
        </w:rPr>
        <w:t>statemen</w:t>
      </w:r>
      <w:r w:rsidR="004B1CE0" w:rsidRPr="00D70295">
        <w:rPr>
          <w:i/>
          <w:iCs/>
        </w:rPr>
        <w:t>t</w:t>
      </w:r>
      <w:proofErr w:type="spellEnd"/>
      <w:r>
        <w:t>, in conformità al principio “</w:t>
      </w:r>
      <w:proofErr w:type="spellStart"/>
      <w:r w:rsidRPr="009E6064">
        <w:rPr>
          <w:i/>
          <w:iCs/>
        </w:rPr>
        <w:t>comply</w:t>
      </w:r>
      <w:proofErr w:type="spellEnd"/>
      <w:r w:rsidRPr="009E6064">
        <w:rPr>
          <w:i/>
          <w:iCs/>
        </w:rPr>
        <w:t xml:space="preserve"> or </w:t>
      </w:r>
      <w:proofErr w:type="spellStart"/>
      <w:r w:rsidRPr="009E6064">
        <w:rPr>
          <w:i/>
          <w:iCs/>
        </w:rPr>
        <w:t>explain</w:t>
      </w:r>
      <w:proofErr w:type="spellEnd"/>
      <w:r>
        <w:t xml:space="preserve">” che descrive le politiche dalla stessa adottate sull’integrazioni dei rischi di sostenibilità nei processi decisionali relativi agli investimenti per tutti i Fondi offerti dalla SGR. Si precisa che la SGR al momento non prende in considerazione i principali effetti negativi delle proprie decisioni di investimento sui fattori di sostenibilità. </w:t>
      </w:r>
    </w:p>
    <w:p w14:paraId="50884C37" w14:textId="70DA93DE" w:rsidR="007A4C6E" w:rsidRDefault="00F97D20" w:rsidP="009E6064">
      <w:pPr>
        <w:pStyle w:val="Paragrafoelenco"/>
        <w:numPr>
          <w:ilvl w:val="0"/>
          <w:numId w:val="1"/>
        </w:numPr>
        <w:tabs>
          <w:tab w:val="left" w:pos="858"/>
          <w:tab w:val="left" w:pos="860"/>
        </w:tabs>
        <w:spacing w:line="259" w:lineRule="auto"/>
        <w:ind w:left="860" w:hanging="361"/>
      </w:pPr>
      <w:r>
        <w:t>In data 10 marzo 2021, nella sezione descritta al punto precedente, la SGR ha pubblicato la Politica ESG che descrive i principi e le logiche adottate dalla SGR circa l’integrazione dei rischi di sostenibilità nei processi decisionali relativi agli investimenti per tutti i Fondi istituiti e offerti dalla SGR, nonché le valutazioni ed il monitoraggio di tali rischi, attraverso, a titolo esemplificativo: l’integrazione della mappatura dei rischi a cui sono</w:t>
      </w:r>
      <w:r w:rsidRPr="009E6064">
        <w:t xml:space="preserve"> </w:t>
      </w:r>
      <w:r>
        <w:t>esposti</w:t>
      </w:r>
      <w:r w:rsidRPr="009E6064">
        <w:t xml:space="preserve"> </w:t>
      </w:r>
      <w:r>
        <w:t>la</w:t>
      </w:r>
      <w:r w:rsidRPr="009E6064">
        <w:t xml:space="preserve"> </w:t>
      </w:r>
      <w:r>
        <w:t>SGR</w:t>
      </w:r>
      <w:r w:rsidRPr="009E6064">
        <w:t xml:space="preserve"> </w:t>
      </w:r>
      <w:r>
        <w:t>e</w:t>
      </w:r>
      <w:r w:rsidRPr="009E6064">
        <w:t xml:space="preserve"> </w:t>
      </w:r>
      <w:r>
        <w:t>i</w:t>
      </w:r>
      <w:r w:rsidRPr="009E6064">
        <w:t xml:space="preserve"> </w:t>
      </w:r>
      <w:r>
        <w:t>fondi</w:t>
      </w:r>
      <w:r w:rsidRPr="009E6064">
        <w:t xml:space="preserve"> </w:t>
      </w:r>
      <w:r>
        <w:t>gestiti</w:t>
      </w:r>
      <w:r w:rsidRPr="009E6064">
        <w:t xml:space="preserve"> </w:t>
      </w:r>
      <w:r>
        <w:t>-</w:t>
      </w:r>
      <w:r w:rsidRPr="009E6064">
        <w:t xml:space="preserve"> </w:t>
      </w:r>
      <w:r>
        <w:t>con</w:t>
      </w:r>
      <w:r w:rsidRPr="009E6064">
        <w:t xml:space="preserve"> </w:t>
      </w:r>
      <w:r>
        <w:t>l’inclusione</w:t>
      </w:r>
      <w:r w:rsidRPr="009E6064">
        <w:t xml:space="preserve"> </w:t>
      </w:r>
      <w:r>
        <w:t>dei</w:t>
      </w:r>
      <w:r w:rsidRPr="009E6064">
        <w:t xml:space="preserve"> </w:t>
      </w:r>
      <w:r>
        <w:t>fattori</w:t>
      </w:r>
      <w:r w:rsidRPr="009E6064">
        <w:t xml:space="preserve"> </w:t>
      </w:r>
      <w:r>
        <w:t>di</w:t>
      </w:r>
      <w:r w:rsidRPr="009E6064">
        <w:t xml:space="preserve"> </w:t>
      </w:r>
      <w:r>
        <w:t>rischio</w:t>
      </w:r>
      <w:r w:rsidRPr="009E6064">
        <w:t xml:space="preserve"> </w:t>
      </w:r>
      <w:r>
        <w:t>ESG</w:t>
      </w:r>
      <w:r w:rsidRPr="009E6064">
        <w:t xml:space="preserve"> </w:t>
      </w:r>
      <w:r>
        <w:t>-</w:t>
      </w:r>
      <w:r w:rsidRPr="009E6064">
        <w:t xml:space="preserve"> </w:t>
      </w:r>
      <w:r>
        <w:t>e</w:t>
      </w:r>
      <w:r w:rsidRPr="009E6064">
        <w:t xml:space="preserve"> </w:t>
      </w:r>
      <w:r>
        <w:t>l’integrazione</w:t>
      </w:r>
      <w:r w:rsidRPr="009E6064">
        <w:t xml:space="preserve"> </w:t>
      </w:r>
      <w:r>
        <w:t>degli</w:t>
      </w:r>
      <w:r w:rsidRPr="009E6064">
        <w:t xml:space="preserve"> </w:t>
      </w:r>
      <w:r>
        <w:t>indicatori e delle metriche utilizzate per l’analisi/valutazione degli investimenti.</w:t>
      </w:r>
      <w:r w:rsidR="00E53D9A">
        <w:t xml:space="preserve"> La Politica ESG pubblicata è tempo per tempo aggiornata, per tener conto delle evoluzioni in ambito normativo e delle prassi di mercato nell’ambito del percorso intrapreso per la progressiva integrazione dei fattori e dei rischi di sostenibilità nei processi aziendali della SGR. </w:t>
      </w:r>
    </w:p>
    <w:p w14:paraId="17E0BE9D" w14:textId="77777777" w:rsidR="007A4C6E" w:rsidRDefault="00F97D20">
      <w:pPr>
        <w:pStyle w:val="Titolo1"/>
        <w:spacing w:before="197"/>
      </w:pPr>
      <w:r>
        <w:rPr>
          <w:noProof/>
        </w:rPr>
        <mc:AlternateContent>
          <mc:Choice Requires="wps">
            <w:drawing>
              <wp:anchor distT="0" distB="0" distL="0" distR="0" simplePos="0" relativeHeight="487588864" behindDoc="1" locked="0" layoutInCell="1" allowOverlap="1" wp14:anchorId="30584E62" wp14:editId="46C3D6AD">
                <wp:simplePos x="0" y="0"/>
                <wp:positionH relativeFrom="page">
                  <wp:posOffset>438912</wp:posOffset>
                </wp:positionH>
                <wp:positionV relativeFrom="paragraph">
                  <wp:posOffset>338785</wp:posOffset>
                </wp:positionV>
                <wp:extent cx="66802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6350"/>
                        </a:xfrm>
                        <a:custGeom>
                          <a:avLst/>
                          <a:gdLst/>
                          <a:ahLst/>
                          <a:cxnLst/>
                          <a:rect l="l" t="t" r="r" b="b"/>
                          <a:pathLst>
                            <a:path w="6680200" h="6350">
                              <a:moveTo>
                                <a:pt x="6679692" y="0"/>
                              </a:moveTo>
                              <a:lnTo>
                                <a:pt x="0" y="0"/>
                              </a:lnTo>
                              <a:lnTo>
                                <a:pt x="0" y="6096"/>
                              </a:lnTo>
                              <a:lnTo>
                                <a:pt x="6679692" y="6096"/>
                              </a:lnTo>
                              <a:lnTo>
                                <a:pt x="6679692" y="0"/>
                              </a:lnTo>
                              <a:close/>
                            </a:path>
                          </a:pathLst>
                        </a:custGeom>
                        <a:solidFill>
                          <a:srgbClr val="001F3D"/>
                        </a:solidFill>
                      </wps:spPr>
                      <wps:bodyPr wrap="square" lIns="0" tIns="0" rIns="0" bIns="0" rtlCol="0">
                        <a:prstTxWarp prst="textNoShape">
                          <a:avLst/>
                        </a:prstTxWarp>
                        <a:noAutofit/>
                      </wps:bodyPr>
                    </wps:wsp>
                  </a:graphicData>
                </a:graphic>
              </wp:anchor>
            </w:drawing>
          </mc:Choice>
          <mc:Fallback>
            <w:pict>
              <v:shape w14:anchorId="5ECFFCAC" id="Graphic 4" o:spid="_x0000_s1026" style="position:absolute;margin-left:34.55pt;margin-top:26.7pt;width:526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680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" path="m6679692,l,,,6096r6679692,l6679692,xe" fillcolor="#001f3d" stroked="f">
                <v:path arrowok="t"/>
                <w10:wrap type="topAndBottom" anchorx="page"/>
              </v:shape>
            </w:pict>
          </mc:Fallback>
        </mc:AlternateContent>
      </w:r>
      <w:r>
        <w:rPr>
          <w:color w:val="001F3D"/>
        </w:rPr>
        <w:t>Integrazione</w:t>
      </w:r>
      <w:r>
        <w:rPr>
          <w:color w:val="001F3D"/>
          <w:spacing w:val="-7"/>
        </w:rPr>
        <w:t xml:space="preserve"> </w:t>
      </w:r>
      <w:r>
        <w:rPr>
          <w:color w:val="001F3D"/>
        </w:rPr>
        <w:t>e</w:t>
      </w:r>
      <w:r>
        <w:rPr>
          <w:color w:val="001F3D"/>
          <w:spacing w:val="-4"/>
        </w:rPr>
        <w:t xml:space="preserve"> </w:t>
      </w:r>
      <w:r>
        <w:rPr>
          <w:color w:val="001F3D"/>
        </w:rPr>
        <w:t>riesame</w:t>
      </w:r>
      <w:r>
        <w:rPr>
          <w:color w:val="001F3D"/>
          <w:spacing w:val="-4"/>
        </w:rPr>
        <w:t xml:space="preserve"> </w:t>
      </w:r>
      <w:r>
        <w:rPr>
          <w:color w:val="001F3D"/>
        </w:rPr>
        <w:t>delle</w:t>
      </w:r>
      <w:r>
        <w:rPr>
          <w:color w:val="001F3D"/>
          <w:spacing w:val="-5"/>
        </w:rPr>
        <w:t xml:space="preserve"> </w:t>
      </w:r>
      <w:r>
        <w:rPr>
          <w:color w:val="001F3D"/>
        </w:rPr>
        <w:t>informazioni</w:t>
      </w:r>
      <w:r>
        <w:rPr>
          <w:color w:val="001F3D"/>
          <w:spacing w:val="-4"/>
        </w:rPr>
        <w:t xml:space="preserve"> </w:t>
      </w:r>
      <w:r>
        <w:rPr>
          <w:color w:val="001F3D"/>
        </w:rPr>
        <w:t>pubblicate</w:t>
      </w:r>
      <w:r>
        <w:rPr>
          <w:color w:val="001F3D"/>
          <w:spacing w:val="-4"/>
        </w:rPr>
        <w:t xml:space="preserve"> </w:t>
      </w:r>
      <w:r>
        <w:rPr>
          <w:color w:val="001F3D"/>
        </w:rPr>
        <w:t>ai</w:t>
      </w:r>
      <w:r>
        <w:rPr>
          <w:color w:val="001F3D"/>
          <w:spacing w:val="-3"/>
        </w:rPr>
        <w:t xml:space="preserve"> </w:t>
      </w:r>
      <w:r>
        <w:rPr>
          <w:color w:val="001F3D"/>
        </w:rPr>
        <w:t>sensi</w:t>
      </w:r>
      <w:r>
        <w:rPr>
          <w:color w:val="001F3D"/>
          <w:spacing w:val="-4"/>
        </w:rPr>
        <w:t xml:space="preserve"> </w:t>
      </w:r>
      <w:r>
        <w:rPr>
          <w:color w:val="001F3D"/>
        </w:rPr>
        <w:t>dell’articolo</w:t>
      </w:r>
      <w:r>
        <w:rPr>
          <w:color w:val="001F3D"/>
          <w:spacing w:val="-5"/>
        </w:rPr>
        <w:t xml:space="preserve"> </w:t>
      </w:r>
      <w:r>
        <w:rPr>
          <w:color w:val="001F3D"/>
        </w:rPr>
        <w:t>5</w:t>
      </w:r>
      <w:r>
        <w:rPr>
          <w:color w:val="001F3D"/>
          <w:spacing w:val="-2"/>
        </w:rPr>
        <w:t xml:space="preserve"> </w:t>
      </w:r>
      <w:r>
        <w:rPr>
          <w:color w:val="001F3D"/>
          <w:spacing w:val="-4"/>
        </w:rPr>
        <w:t>SFDR</w:t>
      </w:r>
    </w:p>
    <w:p w14:paraId="424E13F5" w14:textId="2C6F3AAA" w:rsidR="00E53D9A" w:rsidRDefault="00E53D9A">
      <w:pPr>
        <w:pStyle w:val="Paragrafoelenco"/>
        <w:numPr>
          <w:ilvl w:val="0"/>
          <w:numId w:val="1"/>
        </w:numPr>
        <w:tabs>
          <w:tab w:val="left" w:pos="858"/>
          <w:tab w:val="left" w:pos="860"/>
        </w:tabs>
        <w:spacing w:line="259" w:lineRule="auto"/>
        <w:ind w:left="860" w:hanging="361"/>
      </w:pPr>
      <w:r>
        <w:t xml:space="preserve">La SFDR all’art. 5 prevede che la SGR includa nella propria politica di remunerazione informazioni su come tali politiche siano coerenti con l’integrazione dei rischi di sostenibilità. </w:t>
      </w:r>
    </w:p>
    <w:p w14:paraId="23FD3E57" w14:textId="5878C588" w:rsidR="007A4C6E" w:rsidRDefault="00E53D9A">
      <w:pPr>
        <w:pStyle w:val="Paragrafoelenco"/>
        <w:numPr>
          <w:ilvl w:val="0"/>
          <w:numId w:val="1"/>
        </w:numPr>
        <w:tabs>
          <w:tab w:val="left" w:pos="858"/>
          <w:tab w:val="left" w:pos="860"/>
        </w:tabs>
        <w:spacing w:line="259" w:lineRule="auto"/>
        <w:ind w:left="860" w:hanging="361"/>
      </w:pPr>
      <w:r>
        <w:t>A partire dal</w:t>
      </w:r>
      <w:r>
        <w:rPr>
          <w:spacing w:val="-8"/>
        </w:rPr>
        <w:t xml:space="preserve"> </w:t>
      </w:r>
      <w:r w:rsidR="00F97D20">
        <w:t>10</w:t>
      </w:r>
      <w:r w:rsidR="00F97D20">
        <w:rPr>
          <w:spacing w:val="-8"/>
        </w:rPr>
        <w:t xml:space="preserve"> </w:t>
      </w:r>
      <w:r w:rsidR="00F97D20">
        <w:t>marzo</w:t>
      </w:r>
      <w:r w:rsidR="00F97D20">
        <w:rPr>
          <w:spacing w:val="-8"/>
        </w:rPr>
        <w:t xml:space="preserve"> </w:t>
      </w:r>
      <w:r w:rsidR="00F97D20">
        <w:t>2021</w:t>
      </w:r>
      <w:r w:rsidR="00F97D20">
        <w:rPr>
          <w:spacing w:val="-6"/>
        </w:rPr>
        <w:t xml:space="preserve"> </w:t>
      </w:r>
      <w:r w:rsidR="00F97D20">
        <w:t>la</w:t>
      </w:r>
      <w:r w:rsidR="00F97D20">
        <w:rPr>
          <w:spacing w:val="-8"/>
        </w:rPr>
        <w:t xml:space="preserve"> </w:t>
      </w:r>
      <w:r w:rsidR="00F97D20">
        <w:t>SGR</w:t>
      </w:r>
      <w:r w:rsidR="00F97D20">
        <w:rPr>
          <w:spacing w:val="-7"/>
        </w:rPr>
        <w:t xml:space="preserve"> </w:t>
      </w:r>
      <w:r w:rsidR="00F97D20">
        <w:t>pubblica</w:t>
      </w:r>
      <w:r w:rsidR="00F97D20">
        <w:rPr>
          <w:spacing w:val="-5"/>
        </w:rPr>
        <w:t xml:space="preserve"> </w:t>
      </w:r>
      <w:r w:rsidR="00F97D20">
        <w:t>nella</w:t>
      </w:r>
      <w:r w:rsidR="00F97D20">
        <w:rPr>
          <w:spacing w:val="-7"/>
        </w:rPr>
        <w:t xml:space="preserve"> </w:t>
      </w:r>
      <w:r w:rsidR="00F97D20">
        <w:t>sezione</w:t>
      </w:r>
      <w:r w:rsidR="00F97D20">
        <w:rPr>
          <w:spacing w:val="-6"/>
        </w:rPr>
        <w:t xml:space="preserve"> </w:t>
      </w:r>
      <w:r w:rsidR="00F97D20">
        <w:t>dedicata</w:t>
      </w:r>
      <w:r w:rsidR="00F97D20">
        <w:rPr>
          <w:spacing w:val="-6"/>
        </w:rPr>
        <w:t xml:space="preserve"> </w:t>
      </w:r>
      <w:r w:rsidR="00F97D20">
        <w:t>del</w:t>
      </w:r>
      <w:r w:rsidR="00F97D20">
        <w:rPr>
          <w:spacing w:val="-6"/>
        </w:rPr>
        <w:t xml:space="preserve"> </w:t>
      </w:r>
      <w:r w:rsidR="00F97D20">
        <w:t>sito</w:t>
      </w:r>
      <w:r w:rsidR="00F97D20">
        <w:rPr>
          <w:spacing w:val="-5"/>
        </w:rPr>
        <w:t xml:space="preserve"> </w:t>
      </w:r>
      <w:r w:rsidR="00F97D20">
        <w:t>internet</w:t>
      </w:r>
      <w:r w:rsidR="00F97D20">
        <w:rPr>
          <w:spacing w:val="-5"/>
        </w:rPr>
        <w:t xml:space="preserve"> </w:t>
      </w:r>
      <w:r w:rsidR="00F97D20">
        <w:t>uno</w:t>
      </w:r>
      <w:r w:rsidR="00F97D20">
        <w:rPr>
          <w:spacing w:val="-5"/>
        </w:rPr>
        <w:t xml:space="preserve"> </w:t>
      </w:r>
      <w:proofErr w:type="spellStart"/>
      <w:r w:rsidR="00F97D20" w:rsidRPr="009E6064">
        <w:rPr>
          <w:i/>
          <w:iCs/>
        </w:rPr>
        <w:t>statement</w:t>
      </w:r>
      <w:proofErr w:type="spellEnd"/>
      <w:r w:rsidR="00F97D20">
        <w:rPr>
          <w:spacing w:val="-7"/>
        </w:rPr>
        <w:t xml:space="preserve"> </w:t>
      </w:r>
      <w:r w:rsidR="00F97D20">
        <w:t>con</w:t>
      </w:r>
      <w:r w:rsidR="00F97D20">
        <w:rPr>
          <w:spacing w:val="-7"/>
        </w:rPr>
        <w:t xml:space="preserve"> </w:t>
      </w:r>
      <w:r w:rsidR="00F97D20">
        <w:t>il</w:t>
      </w:r>
      <w:r w:rsidR="00F97D20">
        <w:rPr>
          <w:spacing w:val="-7"/>
        </w:rPr>
        <w:t xml:space="preserve"> </w:t>
      </w:r>
      <w:r w:rsidR="00F97D20">
        <w:t xml:space="preserve">quale </w:t>
      </w:r>
      <w:r>
        <w:t xml:space="preserve">fornisce </w:t>
      </w:r>
      <w:proofErr w:type="gramStart"/>
      <w:r w:rsidR="00F97D20">
        <w:t>informa</w:t>
      </w:r>
      <w:r>
        <w:t>tiva</w:t>
      </w:r>
      <w:r w:rsidR="00F97D20">
        <w:t xml:space="preserve">  </w:t>
      </w:r>
      <w:r>
        <w:t>sullo</w:t>
      </w:r>
      <w:proofErr w:type="gramEnd"/>
      <w:r>
        <w:t xml:space="preserve"> stato di aggiornamento de</w:t>
      </w:r>
      <w:r w:rsidR="00F97D20">
        <w:t>lla Politica di Remunerazione ed Incentivazione</w:t>
      </w:r>
      <w:r>
        <w:t>,</w:t>
      </w:r>
      <w:r w:rsidR="00F97D20">
        <w:t xml:space="preserve"> che </w:t>
      </w:r>
      <w:r>
        <w:t xml:space="preserve">vede </w:t>
      </w:r>
      <w:r w:rsidR="00F97D20">
        <w:t>coinvolto l’azionista unico della SGR (Ministero dell’Economia e delle Finanze).</w:t>
      </w:r>
      <w:r>
        <w:t xml:space="preserve"> </w:t>
      </w:r>
    </w:p>
    <w:p w14:paraId="315A803F" w14:textId="77777777" w:rsidR="00E53D9A" w:rsidRDefault="00E53D9A" w:rsidP="00E53D9A">
      <w:pPr>
        <w:pStyle w:val="Paragrafoelenco"/>
        <w:numPr>
          <w:ilvl w:val="0"/>
          <w:numId w:val="1"/>
        </w:numPr>
        <w:tabs>
          <w:tab w:val="left" w:pos="858"/>
          <w:tab w:val="left" w:pos="860"/>
        </w:tabs>
        <w:spacing w:line="259" w:lineRule="auto"/>
        <w:ind w:left="860" w:hanging="361"/>
      </w:pPr>
      <w:r>
        <w:t xml:space="preserve">La SGR, con riferimento alla politica di remunerazione, adotta un approccio coerente con la normativa di settore e ispirato alle best practice. In particolare, nel quadro della remunerazione aziendale, la SGR integra progressivamente gli obiettivi connessi alle tematiche ESG. </w:t>
      </w:r>
    </w:p>
    <w:p w14:paraId="27C00D61" w14:textId="12BA0D08" w:rsidR="00E53D9A" w:rsidRDefault="00E53D9A" w:rsidP="00E53D9A">
      <w:pPr>
        <w:pStyle w:val="Paragrafoelenco"/>
        <w:numPr>
          <w:ilvl w:val="0"/>
          <w:numId w:val="1"/>
        </w:numPr>
        <w:tabs>
          <w:tab w:val="left" w:pos="858"/>
          <w:tab w:val="left" w:pos="860"/>
        </w:tabs>
        <w:spacing w:line="259" w:lineRule="auto"/>
        <w:ind w:left="860" w:hanging="361"/>
      </w:pPr>
      <w:r>
        <w:t>La Politica di remunerazione, nella versione più recente disponibile, è consultabile nell’apposita sezione del sito.</w:t>
      </w:r>
    </w:p>
    <w:p w14:paraId="6692BEF8" w14:textId="77777777" w:rsidR="00E53D9A" w:rsidRDefault="00E53D9A">
      <w:pPr>
        <w:pStyle w:val="Paragrafoelenco"/>
        <w:tabs>
          <w:tab w:val="left" w:pos="858"/>
          <w:tab w:val="left" w:pos="860"/>
        </w:tabs>
        <w:spacing w:line="259" w:lineRule="auto"/>
        <w:ind w:firstLine="0"/>
      </w:pPr>
    </w:p>
    <w:p w14:paraId="1E821185" w14:textId="3A5C4A41" w:rsidR="0033462B" w:rsidRPr="009E6064" w:rsidRDefault="0033462B" w:rsidP="009E6064">
      <w:pPr>
        <w:pStyle w:val="Paragrafoelenco"/>
        <w:tabs>
          <w:tab w:val="left" w:pos="858"/>
          <w:tab w:val="left" w:pos="860"/>
        </w:tabs>
        <w:spacing w:line="259" w:lineRule="auto"/>
        <w:ind w:firstLine="0"/>
        <w:rPr>
          <w:i/>
          <w:iCs/>
          <w:sz w:val="18"/>
          <w:szCs w:val="18"/>
        </w:rPr>
      </w:pPr>
      <w:r w:rsidRPr="009E6064">
        <w:rPr>
          <w:i/>
          <w:iCs/>
          <w:sz w:val="18"/>
          <w:szCs w:val="18"/>
        </w:rPr>
        <w:t>Giugno 2024</w:t>
      </w:r>
    </w:p>
    <w:sectPr w:rsidR="0033462B" w:rsidRPr="009E6064">
      <w:type w:val="continuous"/>
      <w:pgSz w:w="11900" w:h="16850"/>
      <w:pgMar w:top="7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F21A8"/>
    <w:multiLevelType w:val="hybridMultilevel"/>
    <w:tmpl w:val="BED237F2"/>
    <w:lvl w:ilvl="0" w:tplc="AA54EEC4">
      <w:numFmt w:val="bullet"/>
      <w:lvlText w:val=""/>
      <w:lvlJc w:val="left"/>
      <w:pPr>
        <w:ind w:left="853" w:hanging="356"/>
      </w:pPr>
      <w:rPr>
        <w:rFonts w:ascii="Symbol" w:eastAsia="Symbol" w:hAnsi="Symbol" w:cs="Symbol" w:hint="default"/>
        <w:b w:val="0"/>
        <w:bCs w:val="0"/>
        <w:i w:val="0"/>
        <w:iCs w:val="0"/>
        <w:spacing w:val="0"/>
        <w:w w:val="100"/>
        <w:sz w:val="22"/>
        <w:szCs w:val="22"/>
        <w:lang w:val="it-IT" w:eastAsia="en-US" w:bidi="ar-SA"/>
      </w:rPr>
    </w:lvl>
    <w:lvl w:ilvl="1" w:tplc="6BCC068E">
      <w:numFmt w:val="bullet"/>
      <w:lvlText w:val="•"/>
      <w:lvlJc w:val="left"/>
      <w:pPr>
        <w:ind w:left="1847" w:hanging="356"/>
      </w:pPr>
      <w:rPr>
        <w:rFonts w:hint="default"/>
        <w:lang w:val="it-IT" w:eastAsia="en-US" w:bidi="ar-SA"/>
      </w:rPr>
    </w:lvl>
    <w:lvl w:ilvl="2" w:tplc="CE38C02A">
      <w:numFmt w:val="bullet"/>
      <w:lvlText w:val="•"/>
      <w:lvlJc w:val="left"/>
      <w:pPr>
        <w:ind w:left="2835" w:hanging="356"/>
      </w:pPr>
      <w:rPr>
        <w:rFonts w:hint="default"/>
        <w:lang w:val="it-IT" w:eastAsia="en-US" w:bidi="ar-SA"/>
      </w:rPr>
    </w:lvl>
    <w:lvl w:ilvl="3" w:tplc="7E5C2746">
      <w:numFmt w:val="bullet"/>
      <w:lvlText w:val="•"/>
      <w:lvlJc w:val="left"/>
      <w:pPr>
        <w:ind w:left="3823" w:hanging="356"/>
      </w:pPr>
      <w:rPr>
        <w:rFonts w:hint="default"/>
        <w:lang w:val="it-IT" w:eastAsia="en-US" w:bidi="ar-SA"/>
      </w:rPr>
    </w:lvl>
    <w:lvl w:ilvl="4" w:tplc="32568C28">
      <w:numFmt w:val="bullet"/>
      <w:lvlText w:val="•"/>
      <w:lvlJc w:val="left"/>
      <w:pPr>
        <w:ind w:left="4811" w:hanging="356"/>
      </w:pPr>
      <w:rPr>
        <w:rFonts w:hint="default"/>
        <w:lang w:val="it-IT" w:eastAsia="en-US" w:bidi="ar-SA"/>
      </w:rPr>
    </w:lvl>
    <w:lvl w:ilvl="5" w:tplc="6E761C3C">
      <w:numFmt w:val="bullet"/>
      <w:lvlText w:val="•"/>
      <w:lvlJc w:val="left"/>
      <w:pPr>
        <w:ind w:left="5799" w:hanging="356"/>
      </w:pPr>
      <w:rPr>
        <w:rFonts w:hint="default"/>
        <w:lang w:val="it-IT" w:eastAsia="en-US" w:bidi="ar-SA"/>
      </w:rPr>
    </w:lvl>
    <w:lvl w:ilvl="6" w:tplc="94E6B160">
      <w:numFmt w:val="bullet"/>
      <w:lvlText w:val="•"/>
      <w:lvlJc w:val="left"/>
      <w:pPr>
        <w:ind w:left="6787" w:hanging="356"/>
      </w:pPr>
      <w:rPr>
        <w:rFonts w:hint="default"/>
        <w:lang w:val="it-IT" w:eastAsia="en-US" w:bidi="ar-SA"/>
      </w:rPr>
    </w:lvl>
    <w:lvl w:ilvl="7" w:tplc="5B22A14E">
      <w:numFmt w:val="bullet"/>
      <w:lvlText w:val="•"/>
      <w:lvlJc w:val="left"/>
      <w:pPr>
        <w:ind w:left="7775" w:hanging="356"/>
      </w:pPr>
      <w:rPr>
        <w:rFonts w:hint="default"/>
        <w:lang w:val="it-IT" w:eastAsia="en-US" w:bidi="ar-SA"/>
      </w:rPr>
    </w:lvl>
    <w:lvl w:ilvl="8" w:tplc="C7FC8E08">
      <w:numFmt w:val="bullet"/>
      <w:lvlText w:val="•"/>
      <w:lvlJc w:val="left"/>
      <w:pPr>
        <w:ind w:left="8763" w:hanging="356"/>
      </w:pPr>
      <w:rPr>
        <w:rFonts w:hint="default"/>
        <w:lang w:val="it-IT" w:eastAsia="en-US" w:bidi="ar-SA"/>
      </w:rPr>
    </w:lvl>
  </w:abstractNum>
  <w:num w:numId="1" w16cid:durableId="16368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4C6E"/>
    <w:rsid w:val="0033462B"/>
    <w:rsid w:val="004B1CE0"/>
    <w:rsid w:val="007A4C6E"/>
    <w:rsid w:val="008A6955"/>
    <w:rsid w:val="008E174C"/>
    <w:rsid w:val="009E6064"/>
    <w:rsid w:val="00B300DD"/>
    <w:rsid w:val="00CC64C3"/>
    <w:rsid w:val="00D70295"/>
    <w:rsid w:val="00E53D9A"/>
    <w:rsid w:val="00F308C9"/>
    <w:rsid w:val="00F97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3916"/>
  <w15:docId w15:val="{330232D8-89FA-42F2-AF6A-1752DA4E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
      <w:jc w:val="center"/>
    </w:pPr>
    <w:rPr>
      <w:sz w:val="60"/>
      <w:szCs w:val="60"/>
    </w:rPr>
  </w:style>
  <w:style w:type="paragraph" w:styleId="Paragrafoelenco">
    <w:name w:val="List Paragraph"/>
    <w:basedOn w:val="Normale"/>
    <w:uiPriority w:val="1"/>
    <w:qFormat/>
    <w:pPr>
      <w:spacing w:before="201"/>
      <w:ind w:left="860" w:right="133" w:hanging="361"/>
      <w:jc w:val="both"/>
    </w:pPr>
  </w:style>
  <w:style w:type="paragraph" w:customStyle="1" w:styleId="TableParagraph">
    <w:name w:val="Table Paragraph"/>
    <w:basedOn w:val="Normale"/>
    <w:uiPriority w:val="1"/>
    <w:qFormat/>
  </w:style>
  <w:style w:type="paragraph" w:styleId="Revisione">
    <w:name w:val="Revision"/>
    <w:hidden/>
    <w:uiPriority w:val="99"/>
    <w:semiHidden/>
    <w:rsid w:val="00E53D9A"/>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Baruffaldi</cp:lastModifiedBy>
  <cp:revision>9</cp:revision>
  <dcterms:created xsi:type="dcterms:W3CDTF">2024-05-20T10:46:00Z</dcterms:created>
  <dcterms:modified xsi:type="dcterms:W3CDTF">2024-06-26T12:52:00Z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LastSaved">
    <vt:filetime>2024-05-20T00:00:00Z</vt:filetime>
  </property>
</Properties>
</file>